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02E5C" w:rsidRDefault="00000000">
      <w:pPr>
        <w:widowControl w:val="0"/>
        <w:pBdr>
          <w:top w:val="nil"/>
          <w:left w:val="nil"/>
          <w:bottom w:val="nil"/>
          <w:right w:val="nil"/>
          <w:between w:val="nil"/>
        </w:pBdr>
        <w:jc w:val="center"/>
        <w:rPr>
          <w:rFonts w:ascii="微軟正黑體" w:eastAsia="微軟正黑體" w:hAnsi="微軟正黑體" w:cs="微軟正黑體"/>
          <w:sz w:val="32"/>
          <w:szCs w:val="32"/>
        </w:rPr>
      </w:pPr>
      <w:r>
        <w:rPr>
          <w:rFonts w:ascii="微軟正黑體" w:eastAsia="微軟正黑體" w:hAnsi="微軟正黑體" w:cs="微軟正黑體"/>
          <w:b/>
          <w:bCs/>
          <w:sz w:val="32"/>
          <w:szCs w:val="32"/>
        </w:rPr>
        <w:t>「2026提升國際設計影響力之國際商情研究」採購案</w:t>
      </w:r>
    </w:p>
    <w:p w14:paraId="00000002" w14:textId="77777777" w:rsidR="00C02E5C" w:rsidRDefault="00000000">
      <w:pPr>
        <w:widowControl w:val="0"/>
        <w:pBdr>
          <w:top w:val="nil"/>
          <w:left w:val="nil"/>
          <w:bottom w:val="nil"/>
          <w:right w:val="nil"/>
          <w:between w:val="nil"/>
        </w:pBdr>
        <w:jc w:val="center"/>
        <w:rPr>
          <w:rFonts w:ascii="微軟正黑體" w:eastAsia="微軟正黑體" w:hAnsi="微軟正黑體" w:cs="微軟正黑體"/>
          <w:color w:val="000000"/>
          <w:sz w:val="32"/>
          <w:szCs w:val="32"/>
        </w:rPr>
      </w:pPr>
      <w:r>
        <w:rPr>
          <w:rFonts w:ascii="微軟正黑體" w:eastAsia="微軟正黑體" w:hAnsi="微軟正黑體" w:cs="微軟正黑體"/>
          <w:b/>
          <w:bCs/>
          <w:color w:val="000000"/>
          <w:sz w:val="32"/>
          <w:szCs w:val="32"/>
        </w:rPr>
        <w:t>徵求建議書</w:t>
      </w:r>
    </w:p>
    <w:p w14:paraId="00000003" w14:textId="77777777" w:rsidR="00C02E5C" w:rsidRDefault="00C02E5C">
      <w:pPr>
        <w:widowControl w:val="0"/>
        <w:pBdr>
          <w:top w:val="nil"/>
          <w:left w:val="nil"/>
          <w:bottom w:val="nil"/>
          <w:right w:val="nil"/>
          <w:between w:val="nil"/>
        </w:pBdr>
        <w:jc w:val="center"/>
        <w:rPr>
          <w:rFonts w:ascii="微軟正黑體" w:eastAsia="微軟正黑體" w:hAnsi="微軟正黑體" w:cs="微軟正黑體"/>
          <w:color w:val="000000"/>
          <w:sz w:val="28"/>
          <w:szCs w:val="28"/>
        </w:rPr>
      </w:pPr>
    </w:p>
    <w:p w14:paraId="00000004" w14:textId="77777777" w:rsidR="00C02E5C" w:rsidRDefault="00000000">
      <w:pPr>
        <w:widowControl w:val="0"/>
        <w:numPr>
          <w:ilvl w:val="0"/>
          <w:numId w:val="1"/>
        </w:numPr>
        <w:pBdr>
          <w:top w:val="nil"/>
          <w:left w:val="nil"/>
          <w:bottom w:val="nil"/>
          <w:right w:val="nil"/>
          <w:between w:val="nil"/>
        </w:pBdr>
        <w:spacing w:before="120"/>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企劃書規格包含下列：</w:t>
      </w:r>
    </w:p>
    <w:p w14:paraId="00000005" w14:textId="77777777" w:rsidR="00C02E5C" w:rsidRDefault="00000000">
      <w:pPr>
        <w:widowControl w:val="0"/>
        <w:numPr>
          <w:ilvl w:val="0"/>
          <w:numId w:val="2"/>
        </w:numPr>
        <w:pBdr>
          <w:top w:val="nil"/>
          <w:left w:val="nil"/>
          <w:bottom w:val="nil"/>
          <w:right w:val="nil"/>
          <w:between w:val="nil"/>
        </w:pBdr>
        <w:spacing w:before="120"/>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採用 A4 紙張，橫書雙面列印或簡報資料</w:t>
      </w:r>
    </w:p>
    <w:p w14:paraId="00000006" w14:textId="77777777" w:rsidR="00C02E5C" w:rsidRDefault="00000000">
      <w:pPr>
        <w:widowControl w:val="0"/>
        <w:numPr>
          <w:ilvl w:val="0"/>
          <w:numId w:val="2"/>
        </w:numPr>
        <w:pBdr>
          <w:top w:val="nil"/>
          <w:left w:val="nil"/>
          <w:bottom w:val="nil"/>
          <w:right w:val="nil"/>
          <w:between w:val="nil"/>
        </w:pBdr>
        <w:spacing w:before="120"/>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團隊介紹：含相關專業背景介紹、業務經驗、獲獎紀錄等</w:t>
      </w:r>
    </w:p>
    <w:p w14:paraId="00000007" w14:textId="77777777" w:rsidR="00C02E5C" w:rsidRDefault="00000000">
      <w:pPr>
        <w:widowControl w:val="0"/>
        <w:numPr>
          <w:ilvl w:val="0"/>
          <w:numId w:val="2"/>
        </w:numPr>
        <w:pBdr>
          <w:top w:val="nil"/>
          <w:left w:val="nil"/>
          <w:bottom w:val="nil"/>
          <w:right w:val="nil"/>
          <w:between w:val="nil"/>
        </w:pBdr>
        <w:spacing w:before="120"/>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報價單</w:t>
      </w:r>
    </w:p>
    <w:p w14:paraId="00000008" w14:textId="77777777" w:rsidR="00C02E5C" w:rsidRDefault="00000000">
      <w:pPr>
        <w:widowControl w:val="0"/>
        <w:numPr>
          <w:ilvl w:val="0"/>
          <w:numId w:val="1"/>
        </w:numPr>
        <w:pBdr>
          <w:top w:val="nil"/>
          <w:left w:val="nil"/>
          <w:bottom w:val="nil"/>
          <w:right w:val="nil"/>
          <w:between w:val="nil"/>
        </w:pBdr>
        <w:spacing w:before="120"/>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交付份數：一式【4份】。</w:t>
      </w:r>
    </w:p>
    <w:p w14:paraId="00000009" w14:textId="77777777" w:rsidR="00C02E5C" w:rsidRDefault="00000000">
      <w:pPr>
        <w:widowControl w:val="0"/>
        <w:numPr>
          <w:ilvl w:val="0"/>
          <w:numId w:val="1"/>
        </w:numPr>
        <w:pBdr>
          <w:top w:val="nil"/>
          <w:left w:val="nil"/>
          <w:bottom w:val="nil"/>
          <w:right w:val="nil"/>
          <w:between w:val="nil"/>
        </w:pBdr>
        <w:spacing w:before="120"/>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背景說明</w:t>
      </w:r>
    </w:p>
    <w:p w14:paraId="0000000A" w14:textId="77777777" w:rsidR="00C02E5C" w:rsidRDefault="00000000">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r>
        <w:rPr>
          <w:rFonts w:ascii="微軟正黑體" w:eastAsia="微軟正黑體" w:hAnsi="微軟正黑體" w:cs="微軟正黑體"/>
          <w:sz w:val="28"/>
          <w:szCs w:val="28"/>
        </w:rPr>
        <w:t>經濟部產業發展署為推動「</w:t>
      </w:r>
      <w:proofErr w:type="gramStart"/>
      <w:r>
        <w:rPr>
          <w:rFonts w:ascii="微軟正黑體" w:eastAsia="微軟正黑體" w:hAnsi="微軟正黑體" w:cs="微軟正黑體"/>
          <w:sz w:val="28"/>
          <w:szCs w:val="28"/>
        </w:rPr>
        <w:t>115</w:t>
      </w:r>
      <w:proofErr w:type="gramEnd"/>
      <w:r>
        <w:rPr>
          <w:rFonts w:ascii="微軟正黑體" w:eastAsia="微軟正黑體" w:hAnsi="微軟正黑體" w:cs="微軟正黑體"/>
          <w:sz w:val="28"/>
          <w:szCs w:val="28"/>
        </w:rPr>
        <w:t>年度設計</w:t>
      </w:r>
      <w:proofErr w:type="gramStart"/>
      <w:r>
        <w:rPr>
          <w:rFonts w:ascii="微軟正黑體" w:eastAsia="微軟正黑體" w:hAnsi="微軟正黑體" w:cs="微軟正黑體"/>
          <w:sz w:val="28"/>
          <w:szCs w:val="28"/>
        </w:rPr>
        <w:t>驅動跨域整合</w:t>
      </w:r>
      <w:proofErr w:type="gramEnd"/>
      <w:r>
        <w:rPr>
          <w:rFonts w:ascii="微軟正黑體" w:eastAsia="微軟正黑體" w:hAnsi="微軟正黑體" w:cs="微軟正黑體"/>
          <w:sz w:val="28"/>
          <w:szCs w:val="28"/>
        </w:rPr>
        <w:t>創新計畫 項下 1-2提升國際設計影響力」，導入設計能量協助產業創新、品牌升級與國際拓展，並透過設計策略提升臺灣產業於國際市場之能見度與影響力。</w:t>
      </w:r>
    </w:p>
    <w:p w14:paraId="0000000B" w14:textId="77777777" w:rsidR="00C02E5C" w:rsidRDefault="00000000">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r>
        <w:rPr>
          <w:rFonts w:ascii="微軟正黑體" w:eastAsia="微軟正黑體" w:hAnsi="微軟正黑體" w:cs="微軟正黑體"/>
          <w:sz w:val="28"/>
          <w:szCs w:val="28"/>
        </w:rPr>
        <w:t>為強化臺灣設計產業之國際鏈結，協助掌握海外市場趨勢、設計產業動態、國際展會平台、通路資源與潛在合作機會，本案擬針對歐洲市場進行國際商情研究，作為後續推動臺灣設計業者拓展海外市場、規劃國際合作與政策資源串聯之參考依據。</w:t>
      </w:r>
    </w:p>
    <w:p w14:paraId="0000000C" w14:textId="77777777" w:rsidR="00C02E5C" w:rsidRDefault="00000000">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r>
        <w:rPr>
          <w:rFonts w:ascii="微軟正黑體" w:eastAsia="微軟正黑體" w:hAnsi="微軟正黑體" w:cs="微軟正黑體"/>
          <w:sz w:val="28"/>
          <w:szCs w:val="28"/>
        </w:rPr>
        <w:t>本案研究成果將協助本院掌握歐洲設計相關市場環境與產業發展脈絡，並進一步提出具可行性之推動策略，以利後續作為臺灣設計品牌、設計服務及相關產業拓展國際市場之參考。</w:t>
      </w:r>
    </w:p>
    <w:p w14:paraId="0000000D" w14:textId="77777777" w:rsidR="00C02E5C" w:rsidRDefault="00000000">
      <w:pPr>
        <w:widowControl w:val="0"/>
        <w:numPr>
          <w:ilvl w:val="0"/>
          <w:numId w:val="1"/>
        </w:numPr>
        <w:pBdr>
          <w:top w:val="nil"/>
          <w:left w:val="nil"/>
          <w:bottom w:val="nil"/>
          <w:right w:val="nil"/>
          <w:between w:val="nil"/>
        </w:pBdr>
        <w:spacing w:before="120"/>
        <w:rPr>
          <w:rFonts w:ascii="微軟正黑體" w:eastAsia="微軟正黑體" w:hAnsi="微軟正黑體" w:cs="微軟正黑體"/>
          <w:sz w:val="28"/>
          <w:szCs w:val="28"/>
        </w:rPr>
      </w:pPr>
      <w:r>
        <w:rPr>
          <w:rFonts w:ascii="微軟正黑體" w:eastAsia="微軟正黑體" w:hAnsi="微軟正黑體" w:cs="微軟正黑體"/>
          <w:sz w:val="28"/>
          <w:szCs w:val="28"/>
        </w:rPr>
        <w:t>預算金額：新臺幣550,000元整（含稅）</w:t>
      </w:r>
    </w:p>
    <w:p w14:paraId="0000000E" w14:textId="77777777" w:rsidR="00C02E5C" w:rsidRDefault="00000000">
      <w:pPr>
        <w:widowControl w:val="0"/>
        <w:numPr>
          <w:ilvl w:val="0"/>
          <w:numId w:val="1"/>
        </w:numPr>
        <w:pBdr>
          <w:top w:val="nil"/>
          <w:left w:val="nil"/>
          <w:bottom w:val="nil"/>
          <w:right w:val="nil"/>
          <w:between w:val="nil"/>
        </w:pBdr>
        <w:spacing w:before="120"/>
        <w:rPr>
          <w:rFonts w:ascii="微軟正黑體" w:eastAsia="微軟正黑體" w:hAnsi="微軟正黑體" w:cs="微軟正黑體"/>
          <w:sz w:val="28"/>
          <w:szCs w:val="28"/>
        </w:rPr>
      </w:pPr>
      <w:r>
        <w:rPr>
          <w:rFonts w:ascii="微軟正黑體" w:eastAsia="微軟正黑體" w:hAnsi="微軟正黑體" w:cs="微軟正黑體"/>
          <w:sz w:val="28"/>
          <w:szCs w:val="28"/>
        </w:rPr>
        <w:t>履約期程：決標次日起至115年11月30日</w:t>
      </w:r>
      <w:proofErr w:type="gramStart"/>
      <w:r>
        <w:rPr>
          <w:rFonts w:ascii="微軟正黑體" w:eastAsia="微軟正黑體" w:hAnsi="微軟正黑體" w:cs="微軟正黑體"/>
          <w:sz w:val="28"/>
          <w:szCs w:val="28"/>
        </w:rPr>
        <w:t>止</w:t>
      </w:r>
      <w:proofErr w:type="gramEnd"/>
    </w:p>
    <w:p w14:paraId="0000000F" w14:textId="77777777" w:rsidR="00C02E5C" w:rsidRDefault="00000000">
      <w:pPr>
        <w:widowControl w:val="0"/>
        <w:numPr>
          <w:ilvl w:val="0"/>
          <w:numId w:val="1"/>
        </w:numPr>
        <w:pBdr>
          <w:top w:val="nil"/>
          <w:left w:val="nil"/>
          <w:bottom w:val="nil"/>
          <w:right w:val="nil"/>
          <w:between w:val="nil"/>
        </w:pBdr>
        <w:spacing w:before="120"/>
        <w:rPr>
          <w:rFonts w:ascii="微軟正黑體" w:eastAsia="微軟正黑體" w:hAnsi="微軟正黑體" w:cs="微軟正黑體"/>
          <w:sz w:val="28"/>
          <w:szCs w:val="28"/>
        </w:rPr>
      </w:pPr>
      <w:r>
        <w:rPr>
          <w:rFonts w:ascii="微軟正黑體" w:eastAsia="微軟正黑體" w:hAnsi="微軟正黑體" w:cs="微軟正黑體"/>
          <w:sz w:val="28"/>
          <w:szCs w:val="28"/>
        </w:rPr>
        <w:t>規格需求</w:t>
      </w:r>
    </w:p>
    <w:p w14:paraId="00000010" w14:textId="77777777" w:rsidR="00C02E5C" w:rsidRDefault="00000000">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r>
        <w:rPr>
          <w:rFonts w:ascii="微軟正黑體" w:eastAsia="微軟正黑體" w:hAnsi="微軟正黑體" w:cs="微軟正黑體"/>
          <w:sz w:val="28"/>
          <w:szCs w:val="28"/>
        </w:rPr>
        <w:t>進行歐洲設計市場商情研究，以台灣設計輸出歐洲之市場進入策略、重</w:t>
      </w:r>
      <w:r>
        <w:rPr>
          <w:rFonts w:ascii="微軟正黑體" w:eastAsia="微軟正黑體" w:hAnsi="微軟正黑體" w:cs="微軟正黑體"/>
          <w:sz w:val="28"/>
          <w:szCs w:val="28"/>
        </w:rPr>
        <w:lastRenderedPageBreak/>
        <w:t>點場域分析及政策支持機制為核心，針對歐洲設計市場需求、展會生態、B2B合作模式、永續設計趨勢及國際案例進行資料蒐集、分析與策略</w:t>
      </w:r>
      <w:proofErr w:type="gramStart"/>
      <w:r>
        <w:rPr>
          <w:rFonts w:ascii="微軟正黑體" w:eastAsia="微軟正黑體" w:hAnsi="微軟正黑體" w:cs="微軟正黑體"/>
          <w:sz w:val="28"/>
          <w:szCs w:val="28"/>
        </w:rPr>
        <w:t>研</w:t>
      </w:r>
      <w:proofErr w:type="gramEnd"/>
      <w:r>
        <w:rPr>
          <w:rFonts w:ascii="微軟正黑體" w:eastAsia="微軟正黑體" w:hAnsi="微軟正黑體" w:cs="微軟正黑體"/>
          <w:sz w:val="28"/>
          <w:szCs w:val="28"/>
        </w:rPr>
        <w:t>擬，並依甲方實際需求調整研究範圍與成果形式。</w:t>
      </w:r>
    </w:p>
    <w:p w14:paraId="00000011" w14:textId="77777777" w:rsidR="00C02E5C" w:rsidRDefault="00C02E5C">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p>
    <w:p w14:paraId="00000012" w14:textId="77777777" w:rsidR="00C02E5C" w:rsidRDefault="00000000">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r>
        <w:rPr>
          <w:rFonts w:ascii="微軟正黑體" w:eastAsia="微軟正黑體" w:hAnsi="微軟正黑體" w:cs="微軟正黑體"/>
          <w:sz w:val="28"/>
          <w:szCs w:val="28"/>
        </w:rPr>
        <w:t>(1) 台灣設計優勢與歐洲市場需求分析</w:t>
      </w:r>
    </w:p>
    <w:p w14:paraId="00000013" w14:textId="77777777" w:rsidR="00C02E5C" w:rsidRDefault="00000000">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r>
        <w:rPr>
          <w:rFonts w:ascii="微軟正黑體" w:eastAsia="微軟正黑體" w:hAnsi="微軟正黑體" w:cs="微軟正黑體"/>
          <w:sz w:val="28"/>
          <w:szCs w:val="28"/>
        </w:rPr>
        <w:t>盤點台灣設計產業具國際輸出潛力之領域，包含產品設計、包裝設計、平面設計、設計師品牌及永續材料等，並針對歐洲重點設計市場，分析其設計產業環境、商業需求、展會生態及合作機會，進一步評估台灣設計能力與歐洲市場需求之對接可能。</w:t>
      </w:r>
    </w:p>
    <w:p w14:paraId="00000014" w14:textId="77777777" w:rsidR="00C02E5C" w:rsidRDefault="00C02E5C">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p>
    <w:p w14:paraId="00000015" w14:textId="77777777" w:rsidR="00C02E5C" w:rsidRDefault="00000000">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r>
        <w:rPr>
          <w:rFonts w:ascii="微軟正黑體" w:eastAsia="微軟正黑體" w:hAnsi="微軟正黑體" w:cs="微軟正黑體"/>
          <w:sz w:val="28"/>
          <w:szCs w:val="28"/>
        </w:rPr>
        <w:t>(2) 歐洲市場進入路徑研究</w:t>
      </w:r>
    </w:p>
    <w:p w14:paraId="00000016" w14:textId="77777777" w:rsidR="00C02E5C" w:rsidRDefault="00000000">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r>
        <w:rPr>
          <w:rFonts w:ascii="微軟正黑體" w:eastAsia="微軟正黑體" w:hAnsi="微軟正黑體" w:cs="微軟正黑體"/>
          <w:sz w:val="28"/>
          <w:szCs w:val="28"/>
        </w:rPr>
        <w:t>針對台灣設計業者進入歐洲市場之可能模式進行分析，包含：展會品牌曝光路線，</w:t>
      </w:r>
      <w:proofErr w:type="gramStart"/>
      <w:r>
        <w:rPr>
          <w:rFonts w:ascii="微軟正黑體" w:eastAsia="微軟正黑體" w:hAnsi="微軟正黑體" w:cs="微軟正黑體"/>
          <w:sz w:val="28"/>
          <w:szCs w:val="28"/>
        </w:rPr>
        <w:t>研</w:t>
      </w:r>
      <w:proofErr w:type="gramEnd"/>
      <w:r>
        <w:rPr>
          <w:rFonts w:ascii="微軟正黑體" w:eastAsia="微軟正黑體" w:hAnsi="微軟正黑體" w:cs="微軟正黑體"/>
          <w:sz w:val="28"/>
          <w:szCs w:val="28"/>
        </w:rPr>
        <w:t>析米蘭、巴黎等設計展會如何由曝光轉化為通路、合作或設計委託機會；B2B製造整合委託路線，</w:t>
      </w:r>
      <w:proofErr w:type="gramStart"/>
      <w:r>
        <w:rPr>
          <w:rFonts w:ascii="微軟正黑體" w:eastAsia="微軟正黑體" w:hAnsi="微軟正黑體" w:cs="微軟正黑體"/>
          <w:sz w:val="28"/>
          <w:szCs w:val="28"/>
        </w:rPr>
        <w:t>研</w:t>
      </w:r>
      <w:proofErr w:type="gramEnd"/>
      <w:r>
        <w:rPr>
          <w:rFonts w:ascii="微軟正黑體" w:eastAsia="微軟正黑體" w:hAnsi="微軟正黑體" w:cs="微軟正黑體"/>
          <w:sz w:val="28"/>
          <w:szCs w:val="28"/>
        </w:rPr>
        <w:t>析德國等市場之製造整合、ODM轉型、包裝設計與合</w:t>
      </w:r>
      <w:proofErr w:type="gramStart"/>
      <w:r>
        <w:rPr>
          <w:rFonts w:ascii="微軟正黑體" w:eastAsia="微軟正黑體" w:hAnsi="微軟正黑體" w:cs="微軟正黑體"/>
          <w:sz w:val="28"/>
          <w:szCs w:val="28"/>
        </w:rPr>
        <w:t>規</w:t>
      </w:r>
      <w:proofErr w:type="gramEnd"/>
      <w:r>
        <w:rPr>
          <w:rFonts w:ascii="微軟正黑體" w:eastAsia="微軟正黑體" w:hAnsi="微軟正黑體" w:cs="微軟正黑體"/>
          <w:sz w:val="28"/>
          <w:szCs w:val="28"/>
        </w:rPr>
        <w:t>需求；永續概念合作路線，</w:t>
      </w:r>
      <w:proofErr w:type="gramStart"/>
      <w:r>
        <w:rPr>
          <w:rFonts w:ascii="微軟正黑體" w:eastAsia="微軟正黑體" w:hAnsi="微軟正黑體" w:cs="微軟正黑體"/>
          <w:sz w:val="28"/>
          <w:szCs w:val="28"/>
        </w:rPr>
        <w:t>研</w:t>
      </w:r>
      <w:proofErr w:type="gramEnd"/>
      <w:r>
        <w:rPr>
          <w:rFonts w:ascii="微軟正黑體" w:eastAsia="微軟正黑體" w:hAnsi="微軟正黑體" w:cs="微軟正黑體"/>
          <w:sz w:val="28"/>
          <w:szCs w:val="28"/>
        </w:rPr>
        <w:t>析荷蘭等永續設計場域中，台灣永續材料、循環設計與設計師品牌之合作可能，並提出不同業者類型之進入模式、執行步驟與限制。</w:t>
      </w:r>
    </w:p>
    <w:p w14:paraId="00000017" w14:textId="77777777" w:rsidR="00C02E5C" w:rsidRDefault="00C02E5C">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p>
    <w:p w14:paraId="00000018" w14:textId="77777777" w:rsidR="00C02E5C" w:rsidRDefault="00000000">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r>
        <w:rPr>
          <w:rFonts w:ascii="微軟正黑體" w:eastAsia="微軟正黑體" w:hAnsi="微軟正黑體" w:cs="微軟正黑體"/>
          <w:sz w:val="28"/>
          <w:szCs w:val="28"/>
        </w:rPr>
        <w:t>(3) 國際案例觀察與政策支持機制建議</w:t>
      </w:r>
    </w:p>
    <w:p w14:paraId="00000019" w14:textId="77777777" w:rsidR="00C02E5C" w:rsidRDefault="00000000">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r>
        <w:rPr>
          <w:rFonts w:ascii="微軟正黑體" w:eastAsia="微軟正黑體" w:hAnsi="微軟正黑體" w:cs="微軟正黑體"/>
          <w:sz w:val="28"/>
          <w:szCs w:val="28"/>
        </w:rPr>
        <w:t>蒐集亞洲國家設計輸出歐洲之政策與民間案例，分析其展會支持、選拔培訓、在地顧問、長期展示及國際合作等機制，並盤點甲方既有國際資源、合作管道及可槓桿之政策工具，提出適合台灣推動之支持機制建議，包含在地支持、長期能見度建立、選拔培訓與顧問配對等方向。</w:t>
      </w:r>
    </w:p>
    <w:p w14:paraId="0000001A" w14:textId="77777777" w:rsidR="00C02E5C" w:rsidRDefault="00C02E5C">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p>
    <w:p w14:paraId="0000001B" w14:textId="77777777" w:rsidR="00C02E5C" w:rsidRDefault="00000000">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r>
        <w:rPr>
          <w:rFonts w:ascii="微軟正黑體" w:eastAsia="微軟正黑體" w:hAnsi="微軟正黑體" w:cs="微軟正黑體"/>
          <w:sz w:val="28"/>
          <w:szCs w:val="28"/>
        </w:rPr>
        <w:t>(4) 研究方法、訪談執行與成果交付</w:t>
      </w:r>
    </w:p>
    <w:p w14:paraId="0000001C" w14:textId="77777777" w:rsidR="00C02E5C" w:rsidRDefault="00000000">
      <w:pPr>
        <w:widowControl w:val="0"/>
        <w:pBdr>
          <w:top w:val="nil"/>
          <w:left w:val="nil"/>
          <w:bottom w:val="nil"/>
          <w:right w:val="nil"/>
          <w:between w:val="nil"/>
        </w:pBdr>
        <w:spacing w:before="120"/>
        <w:ind w:left="720"/>
        <w:rPr>
          <w:rFonts w:ascii="微軟正黑體" w:eastAsia="微軟正黑體" w:hAnsi="微軟正黑體" w:cs="微軟正黑體"/>
          <w:sz w:val="28"/>
          <w:szCs w:val="28"/>
        </w:rPr>
      </w:pPr>
      <w:r>
        <w:rPr>
          <w:rFonts w:ascii="微軟正黑體" w:eastAsia="微軟正黑體" w:hAnsi="微軟正黑體" w:cs="微軟正黑體"/>
          <w:sz w:val="28"/>
          <w:szCs w:val="28"/>
        </w:rPr>
        <w:lastRenderedPageBreak/>
        <w:t>本案應進行文獻與次級資料分析、深度訪談、目標對象輪廓建構、法規文獻分析及成果彙整等工作。訪談對象得包含台灣設計業者、歐洲採購方、國際展會或市場中介單位、設計機構及甲方推薦之相關窗口。預計產出成果包含完整研究報告、各路線市場進入分析、業者行動建議、政策支持機制建議、展會與國際設計競賽資訊整理、相關法規或市場資料附錄，以及可編輯之原始檔案。</w:t>
      </w:r>
    </w:p>
    <w:p w14:paraId="0000001D" w14:textId="77777777" w:rsidR="00C02E5C" w:rsidRDefault="00C02E5C">
      <w:pPr>
        <w:widowControl w:val="0"/>
        <w:spacing w:before="120"/>
        <w:ind w:left="795"/>
        <w:rPr>
          <w:rFonts w:ascii="微軟正黑體" w:eastAsia="微軟正黑體" w:hAnsi="微軟正黑體" w:cs="微軟正黑體"/>
          <w:sz w:val="28"/>
          <w:szCs w:val="28"/>
        </w:rPr>
      </w:pPr>
    </w:p>
    <w:p w14:paraId="0000001E" w14:textId="77777777" w:rsidR="00C02E5C" w:rsidRDefault="00000000">
      <w:pPr>
        <w:widowControl w:val="0"/>
        <w:numPr>
          <w:ilvl w:val="0"/>
          <w:numId w:val="1"/>
        </w:numPr>
        <w:pBdr>
          <w:top w:val="nil"/>
          <w:left w:val="nil"/>
          <w:bottom w:val="nil"/>
          <w:right w:val="nil"/>
          <w:between w:val="nil"/>
        </w:pBdr>
        <w:spacing w:before="120"/>
        <w:rPr>
          <w:rFonts w:ascii="微軟正黑體" w:eastAsia="微軟正黑體" w:hAnsi="微軟正黑體" w:cs="微軟正黑體"/>
          <w:sz w:val="28"/>
          <w:szCs w:val="28"/>
        </w:rPr>
      </w:pPr>
      <w:r>
        <w:rPr>
          <w:rFonts w:ascii="微軟正黑體" w:eastAsia="微軟正黑體" w:hAnsi="微軟正黑體" w:cs="微軟正黑體"/>
          <w:sz w:val="28"/>
          <w:szCs w:val="28"/>
        </w:rPr>
        <w:t>本案聯絡人：</w:t>
      </w:r>
    </w:p>
    <w:p w14:paraId="0000001F" w14:textId="77777777" w:rsidR="00C02E5C" w:rsidRDefault="00000000">
      <w:pPr>
        <w:widowControl w:val="0"/>
        <w:numPr>
          <w:ilvl w:val="0"/>
          <w:numId w:val="3"/>
        </w:numPr>
        <w:pBdr>
          <w:top w:val="nil"/>
          <w:left w:val="nil"/>
          <w:bottom w:val="nil"/>
          <w:right w:val="nil"/>
          <w:between w:val="nil"/>
        </w:pBdr>
        <w:spacing w:before="120"/>
        <w:rPr>
          <w:rFonts w:ascii="微軟正黑體" w:eastAsia="微軟正黑體" w:hAnsi="微軟正黑體" w:cs="微軟正黑體"/>
          <w:sz w:val="28"/>
          <w:szCs w:val="28"/>
        </w:rPr>
      </w:pPr>
      <w:r>
        <w:rPr>
          <w:rFonts w:ascii="微軟正黑體" w:eastAsia="微軟正黑體" w:hAnsi="微軟正黑體" w:cs="微軟正黑體"/>
          <w:sz w:val="28"/>
          <w:szCs w:val="28"/>
        </w:rPr>
        <w:t>有關本採購案比稿內容之諮詢，請洽02-2745-8199分機563廖小姐。</w:t>
      </w:r>
    </w:p>
    <w:p w14:paraId="00000020" w14:textId="77777777" w:rsidR="00C02E5C" w:rsidRDefault="00000000">
      <w:pPr>
        <w:widowControl w:val="0"/>
        <w:numPr>
          <w:ilvl w:val="0"/>
          <w:numId w:val="3"/>
        </w:numPr>
        <w:pBdr>
          <w:top w:val="nil"/>
          <w:left w:val="nil"/>
          <w:bottom w:val="nil"/>
          <w:right w:val="nil"/>
          <w:between w:val="nil"/>
        </w:pBdr>
        <w:spacing w:before="120"/>
        <w:rPr>
          <w:rFonts w:ascii="微軟正黑體" w:eastAsia="微軟正黑體" w:hAnsi="微軟正黑體" w:cs="微軟正黑體"/>
          <w:sz w:val="28"/>
          <w:szCs w:val="28"/>
        </w:rPr>
      </w:pPr>
      <w:r>
        <w:rPr>
          <w:rFonts w:ascii="微軟正黑體" w:eastAsia="微軟正黑體" w:hAnsi="微軟正黑體" w:cs="微軟正黑體"/>
          <w:sz w:val="28"/>
          <w:szCs w:val="28"/>
        </w:rPr>
        <w:t>採購事宜聯繫窗口：02-2745-8199 分機106 許小姐；分機212 潘小姐。</w:t>
      </w:r>
    </w:p>
    <w:p w14:paraId="00000021" w14:textId="77777777" w:rsidR="00C02E5C" w:rsidRDefault="00000000">
      <w:pPr>
        <w:widowControl w:val="0"/>
        <w:numPr>
          <w:ilvl w:val="0"/>
          <w:numId w:val="1"/>
        </w:numPr>
        <w:pBdr>
          <w:top w:val="nil"/>
          <w:left w:val="nil"/>
          <w:bottom w:val="nil"/>
          <w:right w:val="nil"/>
          <w:between w:val="nil"/>
        </w:pBdr>
        <w:spacing w:before="120"/>
        <w:rPr>
          <w:rFonts w:ascii="微軟正黑體" w:eastAsia="微軟正黑體" w:hAnsi="微軟正黑體" w:cs="微軟正黑體"/>
          <w:sz w:val="32"/>
          <w:szCs w:val="32"/>
        </w:rPr>
      </w:pPr>
      <w:r>
        <w:rPr>
          <w:rFonts w:ascii="微軟正黑體" w:eastAsia="微軟正黑體" w:hAnsi="微軟正黑體" w:cs="微軟正黑體"/>
          <w:sz w:val="28"/>
          <w:szCs w:val="28"/>
        </w:rPr>
        <w:t>投標：郵寄時請於郵件封套上註明廠商名稱、地址、「2026提升國際設計影響力之國際商情研究」採購案，送達台灣設計研究院採購工作小組收（11072台北市光復南路133號2F）；專人送達請送至本院服務台。以上送達方式皆須依招標公告之截止收件期限(下午17:00) 前送達，逾期恕不受理，如有延誤應自行負責。</w:t>
      </w:r>
    </w:p>
    <w:p w14:paraId="00000022" w14:textId="77777777" w:rsidR="00C02E5C" w:rsidRDefault="00C02E5C">
      <w:pPr>
        <w:widowControl w:val="0"/>
        <w:pBdr>
          <w:top w:val="nil"/>
          <w:left w:val="nil"/>
          <w:bottom w:val="nil"/>
          <w:right w:val="nil"/>
          <w:between w:val="nil"/>
        </w:pBdr>
        <w:ind w:left="795"/>
        <w:rPr>
          <w:rFonts w:ascii="微軟正黑體" w:eastAsia="微軟正黑體" w:hAnsi="微軟正黑體" w:cs="微軟正黑體"/>
          <w:sz w:val="32"/>
          <w:szCs w:val="32"/>
        </w:rPr>
      </w:pPr>
    </w:p>
    <w:sectPr w:rsidR="00C02E5C">
      <w:headerReference w:type="default" r:id="rId8"/>
      <w:footerReference w:type="even" r:id="rId9"/>
      <w:pgSz w:w="11907" w:h="16840"/>
      <w:pgMar w:top="1304" w:right="1247" w:bottom="1304" w:left="1247" w:header="851"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5BF341" w14:textId="77777777" w:rsidR="004707BB" w:rsidRDefault="004707BB">
      <w:r>
        <w:separator/>
      </w:r>
    </w:p>
  </w:endnote>
  <w:endnote w:type="continuationSeparator" w:id="0">
    <w:p w14:paraId="180DBDAF" w14:textId="77777777" w:rsidR="004707BB" w:rsidRDefault="00470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embedRegular r:id="rId1" w:subsetted="1" w:fontKey="{424EEC49-B255-4C42-A242-320BE2443806}"/>
    <w:embedBold r:id="rId2" w:subsetted="1" w:fontKey="{713E49AD-3731-4A7C-A746-68CE1AE3F211}"/>
  </w:font>
  <w:font w:name="新細明體">
    <w:altName w:val="PMingLiU"/>
    <w:panose1 w:val="02020500000000000000"/>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embedItalic r:id="rId3" w:fontKey="{88BB48ED-3960-428E-A86A-6B601715C92F}"/>
  </w:font>
  <w:font w:name="Calibri">
    <w:panose1 w:val="020F0502020204030204"/>
    <w:charset w:val="00"/>
    <w:family w:val="swiss"/>
    <w:pitch w:val="variable"/>
    <w:sig w:usb0="E4002EFF" w:usb1="C200247B" w:usb2="00000009" w:usb3="00000000" w:csb0="000001FF" w:csb1="00000000"/>
    <w:embedRegular r:id="rId4" w:fontKey="{8AAFB9E2-A0A2-470F-8348-683F3E43E1DC}"/>
  </w:font>
  <w:font w:name="Cambria">
    <w:panose1 w:val="02040503050406030204"/>
    <w:charset w:val="00"/>
    <w:family w:val="roman"/>
    <w:pitch w:val="variable"/>
    <w:sig w:usb0="E00006FF" w:usb1="420024FF" w:usb2="02000000" w:usb3="00000000" w:csb0="0000019F" w:csb1="00000000"/>
    <w:embedRegular r:id="rId5" w:fontKey="{37BF6771-76F2-407C-A7CF-86E83257A31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5" w14:textId="77777777" w:rsidR="00C02E5C" w:rsidRDefault="00000000">
    <w:pPr>
      <w:widowControl w:val="0"/>
      <w:pBdr>
        <w:top w:val="nil"/>
        <w:left w:val="nil"/>
        <w:bottom w:val="nil"/>
        <w:right w:val="nil"/>
        <w:between w:val="nil"/>
      </w:pBdr>
      <w:tabs>
        <w:tab w:val="center" w:pos="4153"/>
        <w:tab w:val="right" w:pos="8306"/>
      </w:tabs>
      <w:jc w:val="center"/>
      <w:rPr>
        <w:color w:val="000000"/>
      </w:rPr>
    </w:pPr>
    <w:r>
      <w:rPr>
        <w:color w:val="000000"/>
      </w:rPr>
      <w:fldChar w:fldCharType="begin"/>
    </w:r>
    <w:r>
      <w:rPr>
        <w:rFonts w:eastAsia="Times New Roman"/>
        <w:color w:val="000000"/>
      </w:rPr>
      <w:instrText>PAGE</w:instrText>
    </w:r>
    <w:r>
      <w:rPr>
        <w:color w:val="000000"/>
      </w:rPr>
      <w:fldChar w:fldCharType="separate"/>
    </w:r>
    <w:r>
      <w:rPr>
        <w:color w:val="000000"/>
      </w:rPr>
      <w:fldChar w:fldCharType="end"/>
    </w:r>
  </w:p>
  <w:p w14:paraId="00000026" w14:textId="77777777" w:rsidR="00C02E5C" w:rsidRDefault="00C02E5C">
    <w:pPr>
      <w:widowControl w:val="0"/>
      <w:pBdr>
        <w:top w:val="nil"/>
        <w:left w:val="nil"/>
        <w:bottom w:val="nil"/>
        <w:right w:val="nil"/>
        <w:between w:val="nil"/>
      </w:pBdr>
      <w:tabs>
        <w:tab w:val="center" w:pos="4153"/>
        <w:tab w:val="right" w:pos="830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156060" w14:textId="77777777" w:rsidR="004707BB" w:rsidRDefault="004707BB">
      <w:r>
        <w:separator/>
      </w:r>
    </w:p>
  </w:footnote>
  <w:footnote w:type="continuationSeparator" w:id="0">
    <w:p w14:paraId="00A04A07" w14:textId="77777777" w:rsidR="004707BB" w:rsidRDefault="004707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3" w14:textId="77777777" w:rsidR="00C02E5C" w:rsidRDefault="00000000">
    <w:pPr>
      <w:widowControl w:val="0"/>
      <w:pBdr>
        <w:top w:val="nil"/>
        <w:left w:val="nil"/>
        <w:bottom w:val="nil"/>
        <w:right w:val="nil"/>
        <w:between w:val="nil"/>
      </w:pBdr>
      <w:tabs>
        <w:tab w:val="center" w:pos="4153"/>
        <w:tab w:val="right" w:pos="8306"/>
      </w:tabs>
      <w:jc w:val="right"/>
      <w:rPr>
        <w:rFonts w:ascii="微軟正黑體" w:eastAsia="微軟正黑體" w:hAnsi="微軟正黑體" w:cs="微軟正黑體"/>
        <w:color w:val="000000"/>
        <w:sz w:val="28"/>
        <w:szCs w:val="28"/>
      </w:rPr>
    </w:pPr>
    <w:r>
      <w:rPr>
        <w:rFonts w:ascii="微軟正黑體" w:eastAsia="微軟正黑體" w:hAnsi="微軟正黑體" w:cs="微軟正黑體"/>
        <w:color w:val="000000"/>
        <w:sz w:val="28"/>
        <w:szCs w:val="28"/>
      </w:rPr>
      <w:t>附件1</w:t>
    </w:r>
  </w:p>
  <w:p w14:paraId="00000024" w14:textId="77777777" w:rsidR="00C02E5C" w:rsidRDefault="00000000">
    <w:pPr>
      <w:widowControl w:val="0"/>
      <w:pBdr>
        <w:top w:val="nil"/>
        <w:left w:val="nil"/>
        <w:bottom w:val="nil"/>
        <w:right w:val="nil"/>
        <w:between w:val="nil"/>
      </w:pBdr>
      <w:tabs>
        <w:tab w:val="center" w:pos="4153"/>
        <w:tab w:val="right" w:pos="8306"/>
      </w:tabs>
      <w:rPr>
        <w:rFonts w:ascii="微軟正黑體" w:eastAsia="微軟正黑體" w:hAnsi="微軟正黑體" w:cs="微軟正黑體"/>
        <w:color w:val="000000"/>
        <w:sz w:val="24"/>
        <w:szCs w:val="24"/>
      </w:rPr>
    </w:pPr>
    <w:r>
      <w:rPr>
        <w:rFonts w:ascii="微軟正黑體" w:eastAsia="微軟正黑體" w:hAnsi="微軟正黑體" w:cs="微軟正黑體"/>
        <w:color w:val="000000"/>
        <w:sz w:val="24"/>
        <w:szCs w:val="24"/>
      </w:rPr>
      <w:t>財團法人台灣設計研究院</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5119A7"/>
    <w:multiLevelType w:val="multilevel"/>
    <w:tmpl w:val="BE960B8A"/>
    <w:lvl w:ilvl="0">
      <w:start w:val="1"/>
      <w:numFmt w:val="decimal"/>
      <w:lvlText w:val="%1、"/>
      <w:lvlJc w:val="left"/>
      <w:pPr>
        <w:ind w:left="795" w:hanging="795"/>
      </w:pPr>
      <w:rPr>
        <w:sz w:val="28"/>
        <w:szCs w:val="28"/>
        <w:vertAlign w:val="baseline"/>
      </w:rPr>
    </w:lvl>
    <w:lvl w:ilvl="1">
      <w:start w:val="1"/>
      <w:numFmt w:val="decimal"/>
      <w:lvlText w:val="%2、"/>
      <w:lvlJc w:val="left"/>
      <w:pPr>
        <w:ind w:left="960" w:hanging="480"/>
      </w:pPr>
      <w:rPr>
        <w:vertAlign w:val="baseline"/>
      </w:rPr>
    </w:lvl>
    <w:lvl w:ilvl="2">
      <w:start w:val="1"/>
      <w:numFmt w:val="lowerRoman"/>
      <w:lvlText w:val="%3."/>
      <w:lvlJc w:val="right"/>
      <w:pPr>
        <w:ind w:left="1440" w:hanging="480"/>
      </w:pPr>
      <w:rPr>
        <w:vertAlign w:val="baseline"/>
      </w:rPr>
    </w:lvl>
    <w:lvl w:ilvl="3">
      <w:start w:val="1"/>
      <w:numFmt w:val="decimal"/>
      <w:lvlText w:val="%4."/>
      <w:lvlJc w:val="left"/>
      <w:pPr>
        <w:ind w:left="1920" w:hanging="480"/>
      </w:pPr>
      <w:rPr>
        <w:vertAlign w:val="baseline"/>
      </w:rPr>
    </w:lvl>
    <w:lvl w:ilvl="4">
      <w:start w:val="1"/>
      <w:numFmt w:val="decimal"/>
      <w:lvlText w:val="%5、"/>
      <w:lvlJc w:val="left"/>
      <w:pPr>
        <w:ind w:left="2400" w:hanging="480"/>
      </w:pPr>
      <w:rPr>
        <w:vertAlign w:val="baseline"/>
      </w:rPr>
    </w:lvl>
    <w:lvl w:ilvl="5">
      <w:start w:val="1"/>
      <w:numFmt w:val="lowerRoman"/>
      <w:lvlText w:val="%6."/>
      <w:lvlJc w:val="right"/>
      <w:pPr>
        <w:ind w:left="2880" w:hanging="480"/>
      </w:pPr>
      <w:rPr>
        <w:vertAlign w:val="baseline"/>
      </w:rPr>
    </w:lvl>
    <w:lvl w:ilvl="6">
      <w:start w:val="1"/>
      <w:numFmt w:val="decimal"/>
      <w:lvlText w:val="%7."/>
      <w:lvlJc w:val="left"/>
      <w:pPr>
        <w:ind w:left="3360" w:hanging="480"/>
      </w:pPr>
      <w:rPr>
        <w:vertAlign w:val="baseline"/>
      </w:rPr>
    </w:lvl>
    <w:lvl w:ilvl="7">
      <w:start w:val="1"/>
      <w:numFmt w:val="decimal"/>
      <w:lvlText w:val="%8、"/>
      <w:lvlJc w:val="left"/>
      <w:pPr>
        <w:ind w:left="3840" w:hanging="480"/>
      </w:pPr>
      <w:rPr>
        <w:vertAlign w:val="baseline"/>
      </w:rPr>
    </w:lvl>
    <w:lvl w:ilvl="8">
      <w:start w:val="1"/>
      <w:numFmt w:val="lowerRoman"/>
      <w:lvlText w:val="%9."/>
      <w:lvlJc w:val="right"/>
      <w:pPr>
        <w:ind w:left="4320" w:hanging="480"/>
      </w:pPr>
      <w:rPr>
        <w:vertAlign w:val="baseline"/>
      </w:rPr>
    </w:lvl>
  </w:abstractNum>
  <w:abstractNum w:abstractNumId="1" w15:restartNumberingAfterBreak="0">
    <w:nsid w:val="4A736A52"/>
    <w:multiLevelType w:val="multilevel"/>
    <w:tmpl w:val="287A2018"/>
    <w:lvl w:ilvl="0">
      <w:start w:val="1"/>
      <w:numFmt w:val="decimal"/>
      <w:lvlText w:val="(%1)"/>
      <w:lvlJc w:val="left"/>
      <w:pPr>
        <w:ind w:left="1515" w:hanging="720"/>
      </w:pPr>
      <w:rPr>
        <w:rFonts w:ascii="微軟正黑體" w:eastAsia="微軟正黑體" w:hAnsi="微軟正黑體" w:cs="微軟正黑體"/>
        <w:b w:val="0"/>
        <w:bCs w:val="0"/>
        <w:sz w:val="24"/>
        <w:szCs w:val="24"/>
        <w:vertAlign w:val="baseline"/>
      </w:rPr>
    </w:lvl>
    <w:lvl w:ilvl="1">
      <w:start w:val="1"/>
      <w:numFmt w:val="decimal"/>
      <w:lvlText w:val="%2、"/>
      <w:lvlJc w:val="left"/>
      <w:pPr>
        <w:ind w:left="1755" w:hanging="480"/>
      </w:pPr>
      <w:rPr>
        <w:vertAlign w:val="baseline"/>
      </w:rPr>
    </w:lvl>
    <w:lvl w:ilvl="2">
      <w:start w:val="1"/>
      <w:numFmt w:val="lowerRoman"/>
      <w:lvlText w:val="%3."/>
      <w:lvlJc w:val="right"/>
      <w:pPr>
        <w:ind w:left="2235" w:hanging="480"/>
      </w:pPr>
      <w:rPr>
        <w:vertAlign w:val="baseline"/>
      </w:rPr>
    </w:lvl>
    <w:lvl w:ilvl="3">
      <w:start w:val="1"/>
      <w:numFmt w:val="decimal"/>
      <w:lvlText w:val="%4."/>
      <w:lvlJc w:val="left"/>
      <w:pPr>
        <w:ind w:left="2715" w:hanging="480"/>
      </w:pPr>
      <w:rPr>
        <w:vertAlign w:val="baseline"/>
      </w:rPr>
    </w:lvl>
    <w:lvl w:ilvl="4">
      <w:start w:val="1"/>
      <w:numFmt w:val="decimal"/>
      <w:lvlText w:val="%5、"/>
      <w:lvlJc w:val="left"/>
      <w:pPr>
        <w:ind w:left="3195" w:hanging="480"/>
      </w:pPr>
      <w:rPr>
        <w:vertAlign w:val="baseline"/>
      </w:rPr>
    </w:lvl>
    <w:lvl w:ilvl="5">
      <w:start w:val="1"/>
      <w:numFmt w:val="lowerRoman"/>
      <w:lvlText w:val="%6."/>
      <w:lvlJc w:val="right"/>
      <w:pPr>
        <w:ind w:left="3675" w:hanging="480"/>
      </w:pPr>
      <w:rPr>
        <w:vertAlign w:val="baseline"/>
      </w:rPr>
    </w:lvl>
    <w:lvl w:ilvl="6">
      <w:start w:val="1"/>
      <w:numFmt w:val="decimal"/>
      <w:lvlText w:val="%7."/>
      <w:lvlJc w:val="left"/>
      <w:pPr>
        <w:ind w:left="4155" w:hanging="480"/>
      </w:pPr>
      <w:rPr>
        <w:vertAlign w:val="baseline"/>
      </w:rPr>
    </w:lvl>
    <w:lvl w:ilvl="7">
      <w:start w:val="1"/>
      <w:numFmt w:val="decimal"/>
      <w:lvlText w:val="%8、"/>
      <w:lvlJc w:val="left"/>
      <w:pPr>
        <w:ind w:left="4635" w:hanging="480"/>
      </w:pPr>
      <w:rPr>
        <w:vertAlign w:val="baseline"/>
      </w:rPr>
    </w:lvl>
    <w:lvl w:ilvl="8">
      <w:start w:val="1"/>
      <w:numFmt w:val="lowerRoman"/>
      <w:lvlText w:val="%9."/>
      <w:lvlJc w:val="right"/>
      <w:pPr>
        <w:ind w:left="5115" w:hanging="480"/>
      </w:pPr>
      <w:rPr>
        <w:vertAlign w:val="baseline"/>
      </w:rPr>
    </w:lvl>
  </w:abstractNum>
  <w:abstractNum w:abstractNumId="2" w15:restartNumberingAfterBreak="0">
    <w:nsid w:val="75411804"/>
    <w:multiLevelType w:val="multilevel"/>
    <w:tmpl w:val="1F44FBE4"/>
    <w:lvl w:ilvl="0">
      <w:start w:val="1"/>
      <w:numFmt w:val="decimal"/>
      <w:lvlText w:val="(%1)"/>
      <w:lvlJc w:val="left"/>
      <w:pPr>
        <w:ind w:left="785" w:hanging="360"/>
      </w:pPr>
      <w:rPr>
        <w:rFonts w:ascii="新細明體" w:eastAsia="新細明體" w:hAnsi="新細明體" w:cs="新細明體"/>
        <w:vertAlign w:val="baseline"/>
      </w:rPr>
    </w:lvl>
    <w:lvl w:ilvl="1">
      <w:start w:val="1"/>
      <w:numFmt w:val="decimal"/>
      <w:lvlText w:val="%2、"/>
      <w:lvlJc w:val="left"/>
      <w:pPr>
        <w:ind w:left="1385" w:hanging="480"/>
      </w:pPr>
      <w:rPr>
        <w:vertAlign w:val="baseline"/>
      </w:rPr>
    </w:lvl>
    <w:lvl w:ilvl="2">
      <w:start w:val="1"/>
      <w:numFmt w:val="lowerRoman"/>
      <w:lvlText w:val="%3."/>
      <w:lvlJc w:val="right"/>
      <w:pPr>
        <w:ind w:left="1865" w:hanging="480"/>
      </w:pPr>
      <w:rPr>
        <w:vertAlign w:val="baseline"/>
      </w:rPr>
    </w:lvl>
    <w:lvl w:ilvl="3">
      <w:start w:val="1"/>
      <w:numFmt w:val="decimal"/>
      <w:lvlText w:val="%4."/>
      <w:lvlJc w:val="left"/>
      <w:pPr>
        <w:ind w:left="2345" w:hanging="480"/>
      </w:pPr>
      <w:rPr>
        <w:vertAlign w:val="baseline"/>
      </w:rPr>
    </w:lvl>
    <w:lvl w:ilvl="4">
      <w:start w:val="1"/>
      <w:numFmt w:val="decimal"/>
      <w:lvlText w:val="%5、"/>
      <w:lvlJc w:val="left"/>
      <w:pPr>
        <w:ind w:left="2825" w:hanging="480"/>
      </w:pPr>
      <w:rPr>
        <w:vertAlign w:val="baseline"/>
      </w:rPr>
    </w:lvl>
    <w:lvl w:ilvl="5">
      <w:start w:val="1"/>
      <w:numFmt w:val="lowerRoman"/>
      <w:lvlText w:val="%6."/>
      <w:lvlJc w:val="right"/>
      <w:pPr>
        <w:ind w:left="3305" w:hanging="480"/>
      </w:pPr>
      <w:rPr>
        <w:vertAlign w:val="baseline"/>
      </w:rPr>
    </w:lvl>
    <w:lvl w:ilvl="6">
      <w:start w:val="1"/>
      <w:numFmt w:val="decimal"/>
      <w:lvlText w:val="%7."/>
      <w:lvlJc w:val="left"/>
      <w:pPr>
        <w:ind w:left="3785" w:hanging="480"/>
      </w:pPr>
      <w:rPr>
        <w:vertAlign w:val="baseline"/>
      </w:rPr>
    </w:lvl>
    <w:lvl w:ilvl="7">
      <w:start w:val="1"/>
      <w:numFmt w:val="decimal"/>
      <w:lvlText w:val="%8、"/>
      <w:lvlJc w:val="left"/>
      <w:pPr>
        <w:ind w:left="4265" w:hanging="480"/>
      </w:pPr>
      <w:rPr>
        <w:vertAlign w:val="baseline"/>
      </w:rPr>
    </w:lvl>
    <w:lvl w:ilvl="8">
      <w:start w:val="1"/>
      <w:numFmt w:val="lowerRoman"/>
      <w:lvlText w:val="%9."/>
      <w:lvlJc w:val="right"/>
      <w:pPr>
        <w:ind w:left="4745" w:hanging="480"/>
      </w:pPr>
      <w:rPr>
        <w:vertAlign w:val="baseline"/>
      </w:rPr>
    </w:lvl>
  </w:abstractNum>
  <w:num w:numId="1" w16cid:durableId="503134209">
    <w:abstractNumId w:val="0"/>
  </w:num>
  <w:num w:numId="2" w16cid:durableId="1312175083">
    <w:abstractNumId w:val="1"/>
  </w:num>
  <w:num w:numId="3" w16cid:durableId="13679502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2E5C"/>
    <w:rsid w:val="001D3C73"/>
    <w:rsid w:val="004707BB"/>
    <w:rsid w:val="005D796A"/>
    <w:rsid w:val="00C02E5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2E339302-DD3B-4508-ACC0-94F15398C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paragraph" w:styleId="a5">
    <w:name w:val="header"/>
    <w:basedOn w:val="a"/>
    <w:link w:val="a6"/>
    <w:uiPriority w:val="99"/>
    <w:unhideWhenUsed/>
    <w:rsid w:val="005D796A"/>
    <w:pPr>
      <w:tabs>
        <w:tab w:val="center" w:pos="4153"/>
        <w:tab w:val="right" w:pos="8306"/>
      </w:tabs>
      <w:snapToGrid w:val="0"/>
    </w:pPr>
  </w:style>
  <w:style w:type="character" w:customStyle="1" w:styleId="a6">
    <w:name w:val="頁首 字元"/>
    <w:basedOn w:val="a0"/>
    <w:link w:val="a5"/>
    <w:uiPriority w:val="99"/>
    <w:rsid w:val="005D796A"/>
  </w:style>
  <w:style w:type="paragraph" w:styleId="a7">
    <w:name w:val="footer"/>
    <w:basedOn w:val="a"/>
    <w:link w:val="a8"/>
    <w:uiPriority w:val="99"/>
    <w:unhideWhenUsed/>
    <w:rsid w:val="005D796A"/>
    <w:pPr>
      <w:tabs>
        <w:tab w:val="center" w:pos="4153"/>
        <w:tab w:val="right" w:pos="8306"/>
      </w:tabs>
      <w:snapToGrid w:val="0"/>
    </w:pPr>
  </w:style>
  <w:style w:type="character" w:customStyle="1" w:styleId="a8">
    <w:name w:val="頁尾 字元"/>
    <w:basedOn w:val="a0"/>
    <w:link w:val="a7"/>
    <w:uiPriority w:val="99"/>
    <w:rsid w:val="005D79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5zZ/ITharNS+RlKjZ/AM2LDXKg==">CgMxLjA4AHIhMUF1U2VFeWZaR2hxN2Y2a3N4VFcxeG9aZ2pSTFcwUVow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219</Words>
  <Characters>1250</Characters>
  <Application>Microsoft Office Word</Application>
  <DocSecurity>0</DocSecurity>
  <Lines>10</Lines>
  <Paragraphs>2</Paragraphs>
  <ScaleCrop>false</ScaleCrop>
  <Company/>
  <LinksUpToDate>false</LinksUpToDate>
  <CharactersWithSpaces>1467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潘煒華Weihua Pan│設研院TDRI</dc:creator>
  <cp:lastModifiedBy>潘煒華Weihua Pan│設研院TDRI</cp:lastModifiedBy>
  <cp:revision>2</cp:revision>
  <dcterms:created xsi:type="dcterms:W3CDTF">2026-07-01T07:23:00Z</dcterms:created>
  <dcterms:modified xsi:type="dcterms:W3CDTF">2026-07-01T07:23:00Z</dcterms:modified>
</cp:coreProperties>
</file>